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 xml:space="preserve">部门产出 · 确认 Claw mt5-ai-trader 在线后，触发 mt5_trader </w:t>
      </w:r>
    </w:p>
    <w:p>
      <w:r>
        <w:t>我来帮你执行这个操作。首先需要确认 Claw MT5-AI-Trader 的在线状态，然后触发实盘网格交易。</w:t>
      </w:r>
    </w:p>
    <w:p>
      <w:r>
        <w:t>让我先检查系统状态：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