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立即核查未匹配那1笔689.48元流水,确认是黄金EA实盘入账/客户尾款/平台分</w:t>
      </w:r>
    </w:p>
    <w:p>
      <w:r>
        <w:t>【未匹配流水核查结果】</w:t>
      </w:r>
    </w:p>
    <w:p>
      <w:r>
        <w:rPr>
          <w:b/>
        </w:rPr>
        <w:t>结论：暂无数据，无法处理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核查过程：</w:t>
      </w:r>
    </w:p>
    <w:p>
      <w:pPr>
        <w:pStyle w:val="ListNumber"/>
      </w:pPr>
      <w:r>
        <w:t xml:space="preserve">已检查 </w:t>
      </w:r>
      <w:r>
        <w:rPr>
          <w:rFonts w:ascii="Consolas" w:hAnsi="Consolas"/>
        </w:rPr>
        <w:t>/mnt/coi-share/finance/</w:t>
      </w:r>
      <w:r>
        <w:t xml:space="preserve"> 目录 → 无财务台账或流水记录文件</w:t>
      </w:r>
    </w:p>
    <w:p>
      <w:pPr>
        <w:pStyle w:val="ListNumber"/>
      </w:pPr>
      <w:r>
        <w:t xml:space="preserve">已检查投资部 </w:t>
      </w:r>
      <w:r>
        <w:rPr>
          <w:rFonts w:ascii="Consolas" w:hAnsi="Consolas"/>
        </w:rPr>
        <w:t>investment/outbox/</w:t>
      </w:r>
      <w:r>
        <w:t xml:space="preserve"> → 仅有投资策略报告，无财务流水数据</w:t>
      </w:r>
    </w:p>
    <w:p>
      <w:pPr>
        <w:pStyle w:val="ListNumber"/>
      </w:pPr>
      <w:r>
        <w:t>689.48元流水属于财务入账/账务匹配范畴，需通过财务系统或财务部工作台查询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原因说明：</w:t>
      </w:r>
    </w:p>
    <w:p>
      <w:pPr>
        <w:pStyle w:val="ListBullet"/>
      </w:pPr>
      <w:r>
        <w:t>我是投资部主管-龙眼，职责为A股/外汇/黄金选股研判与策略输出，不接触财务台账</w:t>
      </w:r>
    </w:p>
    <w:p>
      <w:pPr>
        <w:pStyle w:val="ListBullet"/>
      </w:pPr>
      <w:r>
        <w:t>未匹配流水核查、财务入账匹配属于</w:t>
      </w:r>
      <w:r>
        <w:rPr>
          <w:b/>
        </w:rPr>
        <w:t>财务部</w:t>
      </w:r>
      <w:r>
        <w:t>职责范围</w:t>
      </w:r>
    </w:p>
    <w:p>
      <w:pPr>
        <w:pStyle w:val="ListBullet"/>
      </w:pPr>
      <w:r>
        <w:t>当前共享盘finance目录为空，无相关数据可供查询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建议：</w:t>
      </w:r>
    </w:p>
    <w:p>
      <w:r>
        <w:t>请联系财务部（或查看财务部工作台/inbox）核查该笔689.48元流水来源：</w:t>
      </w:r>
    </w:p>
    <w:p>
      <w:pPr>
        <w:pStyle w:val="ListBullet"/>
      </w:pPr>
      <w:r>
        <w:t>若为</w:t>
      </w:r>
      <w:r>
        <w:rPr>
          <w:b/>
        </w:rPr>
        <w:t>黄金EA实盘入账</w:t>
      </w:r>
      <w:r>
        <w:t xml:space="preserve"> → 需核对EA交易记录与银行回单</w:t>
      </w:r>
    </w:p>
    <w:p>
      <w:pPr>
        <w:pStyle w:val="ListBullet"/>
      </w:pPr>
      <w:r>
        <w:t>若为</w:t>
      </w:r>
      <w:r>
        <w:rPr>
          <w:b/>
        </w:rPr>
        <w:t>客户尾款</w:t>
      </w:r>
      <w:r>
        <w:t xml:space="preserve"> → 需核对合同收款计划</w:t>
      </w:r>
    </w:p>
    <w:p>
      <w:pPr>
        <w:pStyle w:val="ListBullet"/>
      </w:pPr>
      <w:r>
        <w:t>若为</w:t>
      </w:r>
      <w:r>
        <w:rPr>
          <w:b/>
        </w:rPr>
        <w:t>平台分润</w:t>
      </w:r>
      <w:r>
        <w:t xml:space="preserve"> → 需核对分润协议与结算单</w:t>
      </w:r>
    </w:p>
    <w:p>
      <w:r>
        <w:t>差异归零及台账更新请交由财务部执行。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