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COI战略风口决策报告-20260909-0359</w:t>
      </w:r>
    </w:p>
    <w:p>
      <w:pPr>
        <w:pStyle w:val="Heading2"/>
      </w:pPr>
      <w:r>
        <w:t>🎯 CEO战略风口决策 · 2026-09-09 03:59</w:t>
      </w:r>
    </w:p>
    <w:p>
      <w:pPr>
        <w:pStyle w:val="Heading3"/>
      </w:pPr>
      <w:r>
        <w:t>一句话结论</w:t>
      </w:r>
    </w:p>
    <w:p>
      <w:r>
        <w:t xml:space="preserve">8个风口/趋势点,3个有真实数据支撑,选 </w:t>
      </w:r>
      <w:r>
        <w:rPr>
          <w:b/>
        </w:rPr>
        <w:t>AI Agent智能体 / 低空eVTOL / 黄金现货</w:t>
      </w:r>
      <w:r>
        <w:t xml:space="preserve"> 这3个。</w:t>
      </w:r>
    </w:p>
    <w:p>
      <w:r>
        <w:t>────────────────────────────────────</w:t>
      </w:r>
    </w:p>
    <w:p>
      <w:pPr>
        <w:pStyle w:val="Heading3"/>
      </w:pPr>
      <w:r>
        <w:t>立即抓住 · 3个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风口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主导部门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落地动作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优先级</w:t>
            </w:r>
          </w:p>
        </w:tc>
      </w:tr>
      <w:tr>
        <w:tc>
          <w:tcPr>
            <w:tcW w:type="dxa" w:w="2160"/>
          </w:tcPr>
          <w:p>
            <w:r/>
            <w:r>
              <w:t xml:space="preserve">🥇 </w:t>
            </w:r>
            <w:r>
              <w:rPr>
                <w:b/>
              </w:rPr>
              <w:t>AI Agent智能体平台</w:t>
            </w:r>
          </w:p>
        </w:tc>
        <w:tc>
          <w:tcPr>
            <w:tcW w:type="dxa" w:w="2160"/>
          </w:tcPr>
          <w:p>
            <w:r/>
            <w:r>
              <w:t>创新部+软件部</w:t>
            </w:r>
          </w:p>
        </w:tc>
        <w:tc>
          <w:tcPr>
            <w:tcW w:type="dxa" w:w="2160"/>
          </w:tcPr>
          <w:p>
            <w:r/>
            <w:r>
              <w:t>本周出《企业Agent平台白皮书》(基于MCP/Harness标准), 09-15前完成POC, 集成到COI 12部门</w:t>
            </w:r>
          </w:p>
        </w:tc>
        <w:tc>
          <w:tcPr>
            <w:tcW w:type="dxa" w:w="2160"/>
          </w:tcPr>
          <w:p>
            <w:r/>
            <w:r>
              <w:t>P0</w:t>
            </w:r>
          </w:p>
        </w:tc>
      </w:tr>
      <w:tr>
        <w:tc>
          <w:tcPr>
            <w:tcW w:type="dxa" w:w="2160"/>
          </w:tcPr>
          <w:p>
            <w:r/>
            <w:r>
              <w:t xml:space="preserve">🥈 </w:t>
            </w:r>
            <w:r>
              <w:rPr>
                <w:b/>
              </w:rPr>
              <w:t>低空经济eVTOL商业化</w:t>
            </w:r>
          </w:p>
        </w:tc>
        <w:tc>
          <w:tcPr>
            <w:tcW w:type="dxa" w:w="2160"/>
          </w:tcPr>
          <w:p>
            <w:r/>
            <w:r>
              <w:t>创新部</w:t>
            </w:r>
          </w:p>
        </w:tc>
        <w:tc>
          <w:tcPr>
            <w:tcW w:type="dxa" w:w="2160"/>
          </w:tcPr>
          <w:p>
            <w:r/>
            <w:r>
              <w:t>跟踪《中国低空经济发展指数报告(2026)》(王姣娥编制,84项指标), 列入Q4行业研究, 试点省份监测</w:t>
            </w:r>
          </w:p>
        </w:tc>
        <w:tc>
          <w:tcPr>
            <w:tcW w:type="dxa" w:w="2160"/>
          </w:tcPr>
          <w:p>
            <w:r/>
            <w:r>
              <w:t>P1</w:t>
            </w:r>
          </w:p>
        </w:tc>
      </w:tr>
      <w:tr>
        <w:tc>
          <w:tcPr>
            <w:tcW w:type="dxa" w:w="2160"/>
          </w:tcPr>
          <w:p>
            <w:r/>
            <w:r>
              <w:t xml:space="preserve">🥉 </w:t>
            </w:r>
            <w:r>
              <w:rPr>
                <w:b/>
              </w:rPr>
              <w:t>黄金现货4400+驱动</w:t>
            </w:r>
          </w:p>
        </w:tc>
        <w:tc>
          <w:tcPr>
            <w:tcW w:type="dxa" w:w="2160"/>
          </w:tcPr>
          <w:p>
            <w:r/>
            <w:r>
              <w:t>投资部+交易部</w:t>
            </w:r>
          </w:p>
        </w:tc>
        <w:tc>
          <w:tcPr>
            <w:tcW w:type="dxa" w:w="2160"/>
          </w:tcPr>
          <w:p>
            <w:r/>
            <w:r>
              <w:t xml:space="preserve">48h出配置策略 (基于3.58%通胀预期+30年美债收益率新高), </w:t>
            </w:r>
            <w:r>
              <w:rPr>
                <w:b/>
              </w:rPr>
              <w:t>先回测+模拟仓</w:t>
            </w:r>
            <w:r>
              <w:t>, 不动实盘</w:t>
            </w:r>
          </w:p>
        </w:tc>
        <w:tc>
          <w:tcPr>
            <w:tcW w:type="dxa" w:w="2160"/>
          </w:tcPr>
          <w:p>
            <w:r/>
            <w:r>
              <w:t>P0</w:t>
            </w:r>
          </w:p>
        </w:tc>
      </w:tr>
    </w:tbl>
    <w:p/>
    <w:p>
      <w:r>
        <w:t>────────────────────────────────────</w:t>
      </w:r>
    </w:p>
    <w:p>
      <w:pPr>
        <w:pStyle w:val="Heading3"/>
      </w:pPr>
      <w:r>
        <w:t>⚠️ 需谨慎</w:t>
      </w:r>
    </w:p>
    <w:p>
      <w:pPr>
        <w:pStyle w:val="ListBullet"/>
      </w:pPr>
      <w:r>
        <w:rPr>
          <w:b/>
        </w:rPr>
        <w:t>黄金4400+</w:t>
      </w:r>
      <w:r>
        <w:t>: 高位震荡, 美债收益率+通胀预期双驱动, 需严控仓位, 先回测再决策</w:t>
      </w:r>
    </w:p>
    <w:p>
      <w:pPr>
        <w:pStyle w:val="Heading3"/>
      </w:pPr>
      <w:r>
        <w:t>❌ 明确弃掉(数据污染)</w:t>
      </w:r>
    </w:p>
    <w:p>
      <w:pPr>
        <w:pStyle w:val="ListBullet"/>
      </w:pPr>
      <w:r>
        <w:t>跨境电商蓝海 — 网页正文缺失, 无实质信息</w:t>
      </w:r>
    </w:p>
    <w:p>
      <w:pPr>
        <w:pStyle w:val="ListBullet"/>
      </w:pPr>
      <w:r>
        <w:t>机器人具身智能 — 词典释义, 无产业内容</w:t>
      </w:r>
    </w:p>
    <w:p>
      <w:pPr>
        <w:pStyle w:val="ListBullet"/>
      </w:pPr>
      <w:r>
        <w:t>AI视频内容创作 — 哲学概念, 无产业数据</w:t>
      </w:r>
    </w:p>
    <w:p>
      <w:pPr>
        <w:pStyle w:val="ListBullet"/>
      </w:pPr>
      <w:r>
        <w:t>新能源汽车出海 — 字典释义+导航, 主题无关</w:t>
      </w:r>
    </w:p>
    <w:p>
      <w:r>
        <w:t>────────────────────────────────────</w:t>
      </w:r>
    </w:p>
    <w:p>
      <w:pPr>
        <w:pStyle w:val="Heading3"/>
      </w:pPr>
      <w:r>
        <w:t>三部门协同执行</w:t>
      </w:r>
    </w:p>
    <w:p>
      <w:pPr>
        <w:pStyle w:val="ListNumber"/>
      </w:pPr>
      <w:r>
        <w:rPr>
          <w:b/>
        </w:rPr>
        <w:t>创新部</w:t>
      </w:r>
      <w:r>
        <w:t>: 9月15日前出AI Agent平台白皮书+POC; 持续跟踪eVTOL指数与试点</w:t>
      </w:r>
    </w:p>
    <w:p>
      <w:pPr>
        <w:pStyle w:val="ListNumber"/>
      </w:pPr>
      <w:r>
        <w:rPr>
          <w:b/>
        </w:rPr>
        <w:t>投资部+交易部</w:t>
      </w:r>
      <w:r>
        <w:t>: 48h内完成黄金4400回测, 出资产配置建议(模拟仓)</w:t>
      </w:r>
    </w:p>
    <w:p>
      <w:pPr>
        <w:pStyle w:val="ListNumber"/>
      </w:pPr>
      <w:r>
        <w:rPr>
          <w:b/>
        </w:rPr>
        <w:t>法务部</w:t>
      </w:r>
      <w:r>
        <w:t>: 黄金EA订阅话术合规预审, 严防收益承诺违规</w:t>
      </w:r>
    </w:p>
    <w:p>
      <w:pPr>
        <w:pStyle w:val="ListNumber"/>
      </w:pPr>
      <w:r>
        <w:rPr>
          <w:b/>
        </w:rPr>
        <w:t>架构部(我)</w:t>
      </w:r>
      <w:r>
        <w:t>: 跟踪三风口落地, 周报同步, 异常即拦截</w:t>
      </w:r>
    </w:p>
    <w:p>
      <w:r>
        <w:t>────────────────────────────────────</w:t>
      </w:r>
    </w:p>
    <w:p>
      <w:r>
        <w:rPr>
          <w:b/>
        </w:rPr>
        <w:t>报告生成时间</w:t>
      </w:r>
      <w:r>
        <w:t>: 2026-09-09 03:59</w:t>
      </w:r>
    </w:p>
    <w:p>
      <w:r>
        <w:rPr>
          <w:b/>
        </w:rPr>
        <w:t>执行部门</w:t>
      </w:r>
      <w:r>
        <w:t>: COI架构部(龙枢)</w:t>
      </w:r>
    </w:p>
    <w:p>
      <w:r>
        <w:rPr>
          <w:b/>
        </w:rPr>
        <w:t>置信度</w:t>
      </w:r>
      <w:r>
        <w:t>: 高(基于真实抓取数据, 数据污染项已剔除)</w:t>
      </w:r>
    </w:p>
    <w:p>
      <w:r>
        <w:rPr>
          <w:b/>
        </w:rPr>
        <w:t>下次复盘</w:t>
      </w:r>
      <w:r>
        <w:t>: 2026-09-10 03:59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