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COI战略风口决策报告-20260909-0959</w:t>
      </w:r>
    </w:p>
    <w:p>
      <w:pPr>
        <w:pStyle w:val="Heading1"/>
      </w:pPr>
      <w:r>
        <w:t>🎯 CEO战略风口决策报告</w:t>
      </w:r>
    </w:p>
    <w:p>
      <w:r>
        <w:rPr>
          <w:b/>
        </w:rPr>
        <w:t>生成时间</w:t>
      </w:r>
      <w:r>
        <w:t>: 2026-09-09 09:59</w:t>
      </w:r>
    </w:p>
    <w:p>
      <w:r>
        <w:rPr>
          <w:b/>
        </w:rPr>
        <w:t>报告人</w:t>
      </w:r>
      <w:r>
        <w:t>: 架构部-龙枢</w:t>
      </w:r>
    </w:p>
    <w:p>
      <w:r>
        <w:rPr>
          <w:b/>
        </w:rPr>
        <w:t>数据源</w:t>
      </w:r>
      <w:r>
        <w:t>: content_pool + web_learn真实抓取</w:t>
      </w:r>
    </w:p>
    <w:p>
      <w:r>
        <w:rPr>
          <w:b/>
        </w:rPr>
        <w:t>有效趋势</w:t>
      </w:r>
      <w:r>
        <w:t>: 5/8个有真实数据支撑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🥇 立即抓住 · 3个最有价值风口</w:t>
      </w:r>
    </w:p>
    <w:p>
      <w:pPr>
        <w:pStyle w:val="Heading3"/>
      </w:pPr>
      <w:r>
        <w:t>1. AI Agent智能体平台【战略级】</w:t>
      </w:r>
    </w:p>
    <w:p>
      <w:pPr>
        <w:pStyle w:val="ListBullet"/>
      </w:pPr>
      <w:r>
        <w:rPr>
          <w:b/>
        </w:rPr>
        <w:t>核心趋势</w:t>
      </w:r>
      <w:r>
        <w:t>: 对话助手→业务执行型Agent(跨系统自主执行+自我纠错+全链路审计)</w:t>
      </w:r>
    </w:p>
    <w:p>
      <w:pPr>
        <w:pStyle w:val="ListBullet"/>
      </w:pPr>
      <w:r>
        <w:rPr>
          <w:b/>
        </w:rPr>
        <w:t>协作标准</w:t>
      </w:r>
      <w:r>
        <w:t>: MCP/Harness成主流(任务拆解+隔离执行+工作流编排)</w:t>
      </w:r>
    </w:p>
    <w:p>
      <w:pPr>
        <w:pStyle w:val="ListBullet"/>
      </w:pPr>
      <w:r>
        <w:rPr>
          <w:b/>
        </w:rPr>
        <w:t>基础</w:t>
      </w:r>
      <w:r>
        <w:t>: Data+AI融合,数据治理前置</w:t>
      </w:r>
    </w:p>
    <w:p>
      <w:pPr>
        <w:pStyle w:val="ListBullet"/>
      </w:pPr>
      <w:r>
        <w:rPr>
          <w:b/>
        </w:rPr>
        <w:t>主导部门</w:t>
      </w:r>
      <w:r>
        <w:t>: 创新部+软件部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Number"/>
      </w:pPr>
      <w:r>
        <w:t>本周出《企业Agent平台白皮书》(09-12前)</w:t>
      </w:r>
    </w:p>
    <w:p>
      <w:pPr>
        <w:pStyle w:val="ListNumber"/>
      </w:pPr>
      <w:r>
        <w:t>完成MCP标准在COI 12部门的POC集成(09-15前)</w:t>
      </w:r>
    </w:p>
    <w:p>
      <w:pPr>
        <w:pStyle w:val="ListNumber"/>
      </w:pPr>
      <w:r>
        <w:t>数据治理前置,先打通data_fabric(8846)</w:t>
      </w:r>
    </w:p>
    <w:p>
      <w:pPr>
        <w:pStyle w:val="Heading3"/>
      </w:pPr>
      <w:r>
        <w:t>2. 跨境电商出口蓝海【增长级】</w:t>
      </w:r>
    </w:p>
    <w:p>
      <w:pPr>
        <w:pStyle w:val="ListBullet"/>
      </w:pPr>
      <w:r>
        <w:rPr>
          <w:b/>
        </w:rPr>
        <w:t>核心趋势</w:t>
      </w:r>
      <w:r>
        <w:t>: 避欧美红海,布局新兴平台</w:t>
      </w:r>
    </w:p>
    <w:p>
      <w:pPr>
        <w:pStyle w:val="ListBullet"/>
      </w:pPr>
      <w:r>
        <w:t>欧洲:eMAG</w:t>
      </w:r>
    </w:p>
    <w:p>
      <w:pPr>
        <w:pStyle w:val="ListBullet"/>
      </w:pPr>
      <w:r>
        <w:t>俄罗斯:Ozon/Wildberries</w:t>
      </w:r>
    </w:p>
    <w:p>
      <w:pPr>
        <w:pStyle w:val="ListBullet"/>
      </w:pPr>
      <w:r>
        <w:t>拉美:美客多</w:t>
      </w:r>
    </w:p>
    <w:p>
      <w:pPr>
        <w:pStyle w:val="ListBullet"/>
      </w:pPr>
      <w:r>
        <w:t>韩国:Coupang</w:t>
      </w:r>
    </w:p>
    <w:p>
      <w:pPr>
        <w:pStyle w:val="ListBullet"/>
      </w:pPr>
      <w:r>
        <w:t>日本:乐天</w:t>
      </w:r>
    </w:p>
    <w:p>
      <w:pPr>
        <w:pStyle w:val="ListBullet"/>
      </w:pPr>
      <w:r>
        <w:rPr>
          <w:b/>
        </w:rPr>
        <w:t>合规</w:t>
      </w:r>
      <w:r>
        <w:t>: 欧盟VAT全覆盖/美国注册公司防查原产地/规避第三国转口关税</w:t>
      </w:r>
    </w:p>
    <w:p>
      <w:pPr>
        <w:pStyle w:val="ListBullet"/>
      </w:pPr>
      <w:r>
        <w:rPr>
          <w:b/>
        </w:rPr>
        <w:t>主导部门</w:t>
      </w:r>
      <w:r>
        <w:t>: 增长部+法务部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Number"/>
      </w:pPr>
      <w:r>
        <w:t>龙法(法务部)出《跨境电商出海合规手册》(48h)</w:t>
      </w:r>
    </w:p>
    <w:p>
      <w:pPr>
        <w:pStyle w:val="ListNumber"/>
      </w:pPr>
      <w:r>
        <w:t>龙拓(增长部)选1-2个平台开POC(优先eMAG/Ozon)</w:t>
      </w:r>
    </w:p>
    <w:p>
      <w:pPr>
        <w:pStyle w:val="ListNumber"/>
      </w:pPr>
      <w:r>
        <w:t>智造部(龙造)备英文/俄文/西班牙文素材</w:t>
      </w:r>
    </w:p>
    <w:p>
      <w:pPr>
        <w:pStyle w:val="Heading3"/>
      </w:pPr>
      <w:r>
        <w:t>3. 黄金现货4350震荡【防御级】</w:t>
      </w:r>
    </w:p>
    <w:p>
      <w:pPr>
        <w:pStyle w:val="ListBullet"/>
      </w:pPr>
      <w:r>
        <w:rPr>
          <w:b/>
        </w:rPr>
        <w:t>现状</w:t>
      </w:r>
      <w:r>
        <w:t>: 现货黄金约4350美元/盎司,区间震荡</w:t>
      </w:r>
    </w:p>
    <w:p>
      <w:pPr>
        <w:pStyle w:val="ListBullet"/>
      </w:pPr>
      <w:r>
        <w:rPr>
          <w:b/>
        </w:rPr>
        <w:t>阻力位</w:t>
      </w:r>
      <w:r>
        <w:t>: 4400/4430/4460</w:t>
      </w:r>
    </w:p>
    <w:p>
      <w:pPr>
        <w:pStyle w:val="ListBullet"/>
      </w:pPr>
      <w:r>
        <w:rPr>
          <w:b/>
        </w:rPr>
        <w:t>支撑位</w:t>
      </w:r>
      <w:r>
        <w:t>: 4350/4320/4300</w:t>
      </w:r>
    </w:p>
    <w:p>
      <w:pPr>
        <w:pStyle w:val="ListBullet"/>
      </w:pPr>
      <w:r>
        <w:rPr>
          <w:b/>
        </w:rPr>
        <w:t>核心驱动</w:t>
      </w:r>
      <w:r>
        <w:t>: 美债收益率+美元指数+中东地缘+美国CPI/PPI</w:t>
      </w:r>
    </w:p>
    <w:p>
      <w:pPr>
        <w:pStyle w:val="ListBullet"/>
      </w:pPr>
      <w:r>
        <w:rPr>
          <w:b/>
        </w:rPr>
        <w:t>加息预期</w:t>
      </w:r>
      <w:r>
        <w:t>: 9月加息预期升温(注意回调风险)</w:t>
      </w:r>
    </w:p>
    <w:p>
      <w:pPr>
        <w:pStyle w:val="ListBullet"/>
      </w:pPr>
      <w:r>
        <w:rPr>
          <w:b/>
        </w:rPr>
        <w:t>主导部门</w:t>
      </w:r>
      <w:r>
        <w:t>: 投资部+交易部</w:t>
      </w:r>
    </w:p>
    <w:p>
      <w:pPr>
        <w:pStyle w:val="ListBullet"/>
      </w:pPr>
      <w:r>
        <w:rPr>
          <w:b/>
        </w:rPr>
        <w:t>落地动作</w:t>
      </w:r>
      <w:r>
        <w:t>:</w:t>
      </w:r>
    </w:p>
    <w:p>
      <w:pPr>
        <w:pStyle w:val="ListNumber"/>
      </w:pPr>
      <w:r>
        <w:t>龙眼(投资部)出配置策略(48h)</w:t>
      </w:r>
    </w:p>
    <w:p>
      <w:pPr>
        <w:pStyle w:val="ListNumber"/>
      </w:pPr>
      <w:r>
        <w:rPr>
          <w:b/>
        </w:rPr>
        <w:t>先回测+模拟仓,不动实盘</w:t>
      </w:r>
    </w:p>
    <w:p>
      <w:pPr>
        <w:pStyle w:val="ListNumber"/>
      </w:pPr>
      <w:r>
        <w:t>严控仓位,严守红线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⚠️ 需谨慎</w:t>
      </w:r>
    </w:p>
    <w:p>
      <w:pPr>
        <w:pStyle w:val="ListBullet"/>
      </w:pPr>
      <w:r>
        <w:rPr>
          <w:b/>
        </w:rPr>
        <w:t>黄金4400+</w:t>
      </w:r>
      <w:r>
        <w:t>: 9月加息预期升温,高位震荡有回调风险,务必先回测</w:t>
      </w:r>
    </w:p>
    <w:p>
      <w:pPr>
        <w:pStyle w:val="ListBullet"/>
      </w:pPr>
      <w:r>
        <w:rPr>
          <w:b/>
        </w:rPr>
        <w:t>低空eVTOL</w:t>
      </w:r>
      <w:r>
        <w:t>: 趋势真实但周期长(2025规模1.5万亿刚起步),建议跟踪研究,不当主战场</w:t>
      </w:r>
    </w:p>
    <w:p>
      <w:pPr>
        <w:pStyle w:val="Heading2"/>
      </w:pPr>
      <w:r>
        <w:t>❌ 明确弃掉(数据污染/弱价值)</w:t>
      </w:r>
    </w:p>
    <w:p>
      <w:pPr>
        <w:pStyle w:val="ListBullet"/>
      </w:pPr>
      <w:r>
        <w:t>机器人具身智能 — 仅基础词条,无产业数据</w:t>
      </w:r>
    </w:p>
    <w:p>
      <w:pPr>
        <w:pStyle w:val="ListBullet"/>
      </w:pPr>
      <w:r>
        <w:t>低空eVTOL — 数据有效但周期长,本期不作为Top3</w:t>
      </w:r>
    </w:p>
    <w:p>
      <w:pPr>
        <w:pStyle w:val="ListBullet"/>
      </w:pPr>
      <w:r>
        <w:t>AI视频内容创作 — 哲学概念,无产业数据</w:t>
      </w:r>
    </w:p>
    <w:p>
      <w:pPr>
        <w:pStyle w:val="ListBullet"/>
      </w:pPr>
      <w:r>
        <w:t>新能源汽车出海 — 网页是计算器工具,与主题无关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📊 3-12个月时间表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周期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行动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负责部门</w:t>
            </w:r>
          </w:p>
        </w:tc>
      </w:tr>
      <w:tr>
        <w:tc>
          <w:tcPr>
            <w:tcW w:type="dxa" w:w="2880"/>
          </w:tcPr>
          <w:p>
            <w:r/>
            <w:r>
              <w:t>48h</w:t>
            </w:r>
          </w:p>
        </w:tc>
        <w:tc>
          <w:tcPr>
            <w:tcW w:type="dxa" w:w="2880"/>
          </w:tcPr>
          <w:p>
            <w:r/>
            <w:r>
              <w:t>黄金配置策略+跨境合规手册</w:t>
            </w:r>
          </w:p>
        </w:tc>
        <w:tc>
          <w:tcPr>
            <w:tcW w:type="dxa" w:w="2880"/>
          </w:tcPr>
          <w:p>
            <w:r/>
            <w:r>
              <w:t>投资部/法务部</w:t>
            </w:r>
          </w:p>
        </w:tc>
      </w:tr>
      <w:tr>
        <w:tc>
          <w:tcPr>
            <w:tcW w:type="dxa" w:w="2880"/>
          </w:tcPr>
          <w:p>
            <w:r/>
            <w:r>
              <w:t>本周</w:t>
            </w:r>
          </w:p>
        </w:tc>
        <w:tc>
          <w:tcPr>
            <w:tcW w:type="dxa" w:w="2880"/>
          </w:tcPr>
          <w:p>
            <w:r/>
            <w:r>
              <w:t>Agent平台白皮书</w:t>
            </w:r>
          </w:p>
        </w:tc>
        <w:tc>
          <w:tcPr>
            <w:tcW w:type="dxa" w:w="2880"/>
          </w:tcPr>
          <w:p>
            <w:r/>
            <w:r>
              <w:t>创新部+软件部</w:t>
            </w:r>
          </w:p>
        </w:tc>
      </w:tr>
      <w:tr>
        <w:tc>
          <w:tcPr>
            <w:tcW w:type="dxa" w:w="2880"/>
          </w:tcPr>
          <w:p>
            <w:r/>
            <w:r>
              <w:t>09-15</w:t>
            </w:r>
          </w:p>
        </w:tc>
        <w:tc>
          <w:tcPr>
            <w:tcW w:type="dxa" w:w="2880"/>
          </w:tcPr>
          <w:p>
            <w:r/>
            <w:r>
              <w:t>MCP POC集成COI 12部门</w:t>
            </w:r>
          </w:p>
        </w:tc>
        <w:tc>
          <w:tcPr>
            <w:tcW w:type="dxa" w:w="2880"/>
          </w:tcPr>
          <w:p>
            <w:r/>
            <w:r>
              <w:t>软件部</w:t>
            </w:r>
          </w:p>
        </w:tc>
      </w:tr>
      <w:tr>
        <w:tc>
          <w:tcPr>
            <w:tcW w:type="dxa" w:w="2880"/>
          </w:tcPr>
          <w:p>
            <w:r/>
            <w:r>
              <w:t>09-30</w:t>
            </w:r>
          </w:p>
        </w:tc>
        <w:tc>
          <w:tcPr>
            <w:tcW w:type="dxa" w:w="2880"/>
          </w:tcPr>
          <w:p>
            <w:r/>
            <w:r>
              <w:t>跨境电商POC启动</w:t>
            </w:r>
          </w:p>
        </w:tc>
        <w:tc>
          <w:tcPr>
            <w:tcW w:type="dxa" w:w="2880"/>
          </w:tcPr>
          <w:p>
            <w:r/>
            <w:r>
              <w:t>增长部</w:t>
            </w:r>
          </w:p>
        </w:tc>
      </w:tr>
      <w:tr>
        <w:tc>
          <w:tcPr>
            <w:tcW w:type="dxa" w:w="2880"/>
          </w:tcPr>
          <w:p>
            <w:r/>
            <w:r>
              <w:t>Q4</w:t>
            </w:r>
          </w:p>
        </w:tc>
        <w:tc>
          <w:tcPr>
            <w:tcW w:type="dxa" w:w="2880"/>
          </w:tcPr>
          <w:p>
            <w:r/>
            <w:r>
              <w:t>eVTOL行业研究报告</w:t>
            </w:r>
          </w:p>
        </w:tc>
        <w:tc>
          <w:tcPr>
            <w:tcW w:type="dxa" w:w="2880"/>
          </w:tcPr>
          <w:p>
            <w:r/>
            <w:r>
              <w:t>创新部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r>
        <w:rPr>
          <w:b/>
        </w:rPr>
        <w:t>结论</w:t>
      </w:r>
      <w:r>
        <w:t>: 本期3大风口=AI Agent(战略)+跨境电商(增长)+黄金(防御),分别由创新部+软件部、增长部+法务部、投资部+交易部主导。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