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硬件部核心职责说明</w:t>
      </w:r>
    </w:p>
    <w:p>
      <w:pPr>
        <w:pStyle w:val="Heading1"/>
      </w:pPr>
      <w:r>
        <w:t>硬件部核心职责说明</w:t>
      </w:r>
    </w:p>
    <w:p>
      <w:pPr>
        <w:pStyle w:val="Heading2"/>
      </w:pPr>
      <w:r>
        <w:t>部门核心职责</w:t>
      </w:r>
    </w:p>
    <w:p>
      <w:r>
        <w:t>硬件部负责COI智能企业系统的硬件设计与选型支持，涵盖嵌入式开发、电路设计、PCB布局、传感器选型及物联网方案评估。</w:t>
      </w:r>
    </w:p>
    <w:p>
      <w:pPr>
        <w:pStyle w:val="Heading2"/>
      </w:pPr>
      <w:r>
        <w:t>关键能力</w:t>
      </w:r>
    </w:p>
    <w:p>
      <w:pPr>
        <w:pStyle w:val="ListBullet"/>
      </w:pPr>
      <w:r>
        <w:t>嵌入式开发与STM32/ESP32编程</w:t>
      </w:r>
    </w:p>
    <w:p>
      <w:pPr>
        <w:pStyle w:val="ListBullet"/>
      </w:pPr>
      <w:r>
        <w:t>PCB设计与电路原理图绘制</w:t>
      </w:r>
    </w:p>
    <w:p>
      <w:pPr>
        <w:pStyle w:val="ListBullet"/>
      </w:pPr>
      <w:r>
        <w:t>传感器选型与校准配置</w:t>
      </w:r>
    </w:p>
    <w:p>
      <w:pPr>
        <w:pStyle w:val="ListBullet"/>
      </w:pPr>
      <w:r>
        <w:t>硬件方案可行性评估</w:t>
      </w:r>
    </w:p>
    <w:p>
      <w:pPr>
        <w:pStyle w:val="ListBullet"/>
      </w:pPr>
      <w:r>
        <w:t>成本与可靠性双控的选型策略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