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COI战略风口决策报告-20260909-1600</w:t>
      </w:r>
    </w:p>
    <w:p>
      <w:pPr>
        <w:pStyle w:val="Heading1"/>
      </w:pPr>
      <w:r>
        <w:t>COI战略风口决策报告 · 2026-09-09 16:00</w:t>
      </w:r>
    </w:p>
    <w:p>
      <w:pPr>
        <w:pStyle w:val="Heading2"/>
      </w:pPr>
      <w:r>
        <w:t>一句话结论</w:t>
      </w:r>
    </w:p>
    <w:p>
      <w:r>
        <w:t xml:space="preserve">5个风口点全部有数据支撑，选 </w:t>
      </w:r>
      <w:r>
        <w:rPr>
          <w:b/>
        </w:rPr>
        <w:t>黄金现货 / 跨境电商 / 低空经济</w:t>
      </w:r>
      <w:r>
        <w:t xml:space="preserve"> 这3个。</w:t>
      </w:r>
    </w:p>
    <w:p>
      <w:r>
        <w:t>────────────────────────────────────</w:t>
      </w:r>
    </w:p>
    <w:p>
      <w:pPr>
        <w:pStyle w:val="Heading2"/>
      </w:pPr>
      <w:r>
        <w:t>🎯 立即抓住 · 3个最有价值</w:t>
      </w:r>
    </w:p>
    <w:p>
      <w:pPr>
        <w:pStyle w:val="Heading3"/>
      </w:pPr>
      <w:r>
        <w:t>🥇 黄金现货(4400关口)</w:t>
      </w:r>
    </w:p>
    <w:p>
      <w:pPr>
        <w:pStyle w:val="ListBullet"/>
      </w:pPr>
      <w:r>
        <w:rPr>
          <w:b/>
        </w:rPr>
        <w:t>现状</w:t>
      </w:r>
      <w:r>
        <w:t>: 多空激战4400/4395关键阈值，CPI为终局指标</w:t>
      </w:r>
    </w:p>
    <w:p>
      <w:pPr>
        <w:pStyle w:val="ListBullet"/>
      </w:pPr>
      <w:r>
        <w:rPr>
          <w:b/>
        </w:rPr>
        <w:t>策略</w:t>
      </w:r>
      <w:r>
        <w:t>: 回调即买入机会，目标5200；警惕"避险悖论"</w:t>
      </w:r>
    </w:p>
    <w:p>
      <w:pPr>
        <w:pStyle w:val="ListBullet"/>
      </w:pPr>
      <w:r>
        <w:rPr>
          <w:b/>
        </w:rPr>
        <w:t>主导</w:t>
      </w:r>
      <w:r>
        <w:t xml:space="preserve">: </w:t>
      </w:r>
      <w:r>
        <w:rPr>
          <w:b/>
        </w:rPr>
        <w:t>投资部</w:t>
      </w:r>
      <w:r>
        <w:t xml:space="preserve"> + </w:t>
      </w:r>
      <w:r>
        <w:rPr>
          <w:b/>
        </w:rPr>
        <w:t>交易部</w:t>
      </w:r>
    </w:p>
    <w:p>
      <w:pPr>
        <w:pStyle w:val="ListBullet"/>
      </w:pPr>
      <w:r>
        <w:rPr>
          <w:b/>
        </w:rPr>
        <w:t>落地动作</w:t>
      </w:r>
      <w:r>
        <w:t>:</w:t>
      </w:r>
    </w:p>
    <w:p>
      <w:pPr>
        <w:pStyle w:val="ListNumber"/>
      </w:pPr>
      <w:r>
        <w:t>48h内出配置策略(投资部)</w:t>
      </w:r>
    </w:p>
    <w:p>
      <w:pPr>
        <w:pStyle w:val="ListNumber"/>
      </w:pPr>
      <w:r>
        <w:t>实盘验证需鲁哥拍板</w:t>
      </w:r>
    </w:p>
    <w:p>
      <w:pPr>
        <w:pStyle w:val="ListNumber"/>
      </w:pPr>
      <w:r>
        <w:t>每日监控4400支撑位和CPI数据</w:t>
      </w:r>
    </w:p>
    <w:p>
      <w:pPr>
        <w:pStyle w:val="Heading3"/>
      </w:pPr>
      <w:r>
        <w:t>🥈 跨境电商出口蓝海</w:t>
      </w:r>
    </w:p>
    <w:p>
      <w:pPr>
        <w:pStyle w:val="ListBullet"/>
      </w:pPr>
      <w:r>
        <w:rPr>
          <w:b/>
        </w:rPr>
        <w:t>现状</w:t>
      </w:r>
      <w:r>
        <w:t>: 新兴市场(eMAG/Ozon/美客多/Coupang/乐天)避开欧美红海</w:t>
      </w:r>
    </w:p>
    <w:p>
      <w:pPr>
        <w:pStyle w:val="ListBullet"/>
      </w:pPr>
      <w:r>
        <w:rPr>
          <w:b/>
        </w:rPr>
        <w:t>主导</w:t>
      </w:r>
      <w:r>
        <w:t xml:space="preserve">: </w:t>
      </w:r>
      <w:r>
        <w:rPr>
          <w:b/>
        </w:rPr>
        <w:t>增长部</w:t>
      </w:r>
      <w:r>
        <w:t xml:space="preserve"> + </w:t>
      </w:r>
      <w:r>
        <w:rPr>
          <w:b/>
        </w:rPr>
        <w:t>法务部</w:t>
      </w:r>
    </w:p>
    <w:p>
      <w:pPr>
        <w:pStyle w:val="ListBullet"/>
      </w:pPr>
      <w:r>
        <w:rPr>
          <w:b/>
        </w:rPr>
        <w:t>落地动作</w:t>
      </w:r>
      <w:r>
        <w:t>:</w:t>
      </w:r>
    </w:p>
    <w:p>
      <w:pPr>
        <w:pStyle w:val="ListNumber"/>
      </w:pPr>
      <w:r>
        <w:t>龙法48h出合规手册(VAT/原产地/关税风险)</w:t>
      </w:r>
    </w:p>
    <w:p>
      <w:pPr>
        <w:pStyle w:val="ListNumber"/>
      </w:pPr>
      <w:r>
        <w:t>龙拓选1-2平台POC验证</w:t>
      </w:r>
    </w:p>
    <w:p>
      <w:pPr>
        <w:pStyle w:val="ListNumber"/>
      </w:pPr>
      <w:r>
        <w:t>龙造备多语言素材</w:t>
      </w:r>
    </w:p>
    <w:p>
      <w:pPr>
        <w:pStyle w:val="Heading3"/>
      </w:pPr>
      <w:r>
        <w:t>🥉 低空经济eVTOL商业化</w:t>
      </w:r>
    </w:p>
    <w:p>
      <w:pPr>
        <w:pStyle w:val="ListBullet"/>
      </w:pPr>
      <w:r>
        <w:rPr>
          <w:b/>
        </w:rPr>
        <w:t>现状</w:t>
      </w:r>
      <w:r>
        <w:t>: 1000米以下空域+无人机/eVTOL/直升机全形态，2025规模1.5万亿</w:t>
      </w:r>
    </w:p>
    <w:p>
      <w:pPr>
        <w:pStyle w:val="ListBullet"/>
      </w:pPr>
      <w:r>
        <w:rPr>
          <w:b/>
        </w:rPr>
        <w:t>主导</w:t>
      </w:r>
      <w:r>
        <w:t xml:space="preserve">: </w:t>
      </w:r>
      <w:r>
        <w:rPr>
          <w:b/>
        </w:rPr>
        <w:t>硬件部</w:t>
      </w:r>
      <w:r>
        <w:t xml:space="preserve"> + </w:t>
      </w:r>
      <w:r>
        <w:rPr>
          <w:b/>
        </w:rPr>
        <w:t>创新部</w:t>
      </w:r>
    </w:p>
    <w:p>
      <w:pPr>
        <w:pStyle w:val="ListBullet"/>
      </w:pPr>
      <w:r>
        <w:rPr>
          <w:b/>
        </w:rPr>
        <w:t>落地动作</w:t>
      </w:r>
      <w:r>
        <w:t>:</w:t>
      </w:r>
    </w:p>
    <w:p>
      <w:pPr>
        <w:pStyle w:val="ListNumber"/>
      </w:pPr>
      <w:r>
        <w:t>创新部跟踪技术路线(MCP/Harness标准)</w:t>
      </w:r>
    </w:p>
    <w:p>
      <w:pPr>
        <w:pStyle w:val="ListNumber"/>
      </w:pPr>
      <w:r>
        <w:t>硬件部评估产业链机会</w:t>
      </w:r>
    </w:p>
    <w:p>
      <w:pPr>
        <w:pStyle w:val="ListNumber"/>
      </w:pPr>
      <w:r>
        <w:t>作为中长期布局储备</w:t>
      </w:r>
    </w:p>
    <w:p>
      <w:r>
        <w:t>────────────────────────────────────</w:t>
      </w:r>
    </w:p>
    <w:p>
      <w:pPr>
        <w:pStyle w:val="Heading2"/>
      </w:pPr>
      <w:r>
        <w:t>⚠️ 需谨慎</w:t>
      </w:r>
    </w:p>
    <w:p>
      <w:pPr>
        <w:pStyle w:val="ListBullet"/>
      </w:pPr>
      <w:r>
        <w:rPr>
          <w:b/>
        </w:rPr>
        <w:t>具身智能机器人</w:t>
      </w:r>
      <w:r>
        <w:t>: 数据有效但产业周期长，跟踪研究为主</w:t>
      </w:r>
    </w:p>
    <w:p>
      <w:pPr>
        <w:pStyle w:val="ListBullet"/>
      </w:pPr>
      <w:r>
        <w:rPr>
          <w:b/>
        </w:rPr>
        <w:t>AI内容创作</w:t>
      </w:r>
      <w:r>
        <w:t>: 仅哲学概念，无商业落地路径</w:t>
      </w:r>
    </w:p>
    <w:p>
      <w:r>
        <w:t>────────────────────────────────────</w:t>
      </w:r>
    </w:p>
    <w:p>
      <w:r>
        <w:rPr>
          <w:b/>
        </w:rPr>
        <w:t>报告生成</w:t>
      </w:r>
      <w:r>
        <w:t xml:space="preserve">: 2026-09-09 16:00 | </w:t>
      </w:r>
      <w:r>
        <w:rPr>
          <w:b/>
        </w:rPr>
        <w:t>负责人</w:t>
      </w:r>
      <w:r>
        <w:t>: 架构部·龙枢</w:t>
      </w:r>
    </w:p>
    <w:p>
      <w:r>
        <w:rPr>
          <w:b/>
        </w:rPr>
        <w:t>级别</w:t>
      </w:r>
      <w:r>
        <w:t>: L2内部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