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调用data_fabric检查未匹配应收明细，核实来源，若为误判则标记修复；若为</w:t>
      </w:r>
    </w:p>
    <w:p>
      <w:r>
        <w:t>(任务完成)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