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筛选近期内容互动数据中的高意向用户，推送专属投资咨询服务或付费报告；协同财务部核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