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8800元应收-689.48元差异核查与现金流风险提示简报</w:t>
      </w:r>
    </w:p>
    <w:p>
      <w:pPr>
        <w:pStyle w:val="Heading1"/>
      </w:pPr>
      <w:r>
        <w:t>8800元应收-689.48元差异核查报告</w:t>
      </w:r>
    </w:p>
    <w:p>
      <w:pPr>
        <w:pStyle w:val="Heading2"/>
      </w:pPr>
      <w:r>
        <w:t>一、差异概况</w:t>
      </w:r>
    </w:p>
    <w:p>
      <w:pPr>
        <w:pStyle w:val="ListBullet"/>
      </w:pPr>
      <w:r>
        <w:rPr>
          <w:b/>
        </w:rPr>
        <w:t>应收总额</w:t>
      </w:r>
      <w:r>
        <w:t>: 8800元</w:t>
      </w:r>
    </w:p>
    <w:p>
      <w:pPr>
        <w:pStyle w:val="ListBullet"/>
      </w:pPr>
      <w:r>
        <w:rPr>
          <w:b/>
        </w:rPr>
        <w:t>已匹配金额</w:t>
      </w:r>
      <w:r>
        <w:t>: 8110.52元</w:t>
      </w:r>
    </w:p>
    <w:p>
      <w:pPr>
        <w:pStyle w:val="ListBullet"/>
      </w:pPr>
      <w:r>
        <w:rPr>
          <w:b/>
        </w:rPr>
        <w:t>未匹配差额</w:t>
      </w:r>
      <w:r>
        <w:t>: 689.48元</w:t>
      </w:r>
    </w:p>
    <w:p>
      <w:pPr>
        <w:pStyle w:val="ListBullet"/>
      </w:pPr>
      <w:r>
        <w:rPr>
          <w:b/>
        </w:rPr>
        <w:t>核查时间</w:t>
      </w:r>
      <w:r>
        <w:t>: 2026-09-10 21:30</w:t>
      </w:r>
    </w:p>
    <w:p>
      <w:pPr>
        <w:pStyle w:val="Heading2"/>
      </w:pPr>
      <w:r>
        <w:t>二、差异来源分析</w:t>
      </w:r>
    </w:p>
    <w:p>
      <w:pPr>
        <w:pStyle w:val="Heading3"/>
      </w:pPr>
      <w:r>
        <w:t>数据核查结果</w:t>
      </w:r>
    </w:p>
    <w:p>
      <w:r>
        <w:t>通过data_fabric查询，该笔689.48元差异为</w:t>
      </w:r>
      <w:r>
        <w:rPr>
          <w:b/>
        </w:rPr>
        <w:t>客户A的预付款</w:t>
      </w:r>
      <w:r>
        <w:t>，入账时间晚于账单生成时间，属于正常时间差导致的未匹配项。</w:t>
      </w:r>
    </w:p>
    <w:p>
      <w:pPr>
        <w:pStyle w:val="Heading3"/>
      </w:pPr>
      <w:r>
        <w:t>验证依据</w:t>
      </w:r>
    </w:p>
    <w:p>
      <w:pPr>
        <w:pStyle w:val="ListNumber"/>
      </w:pPr>
      <w:r>
        <w:t>客户确认单显示该笔款项已支付</w:t>
      </w:r>
    </w:p>
    <w:p>
      <w:pPr>
        <w:pStyle w:val="ListNumber"/>
      </w:pPr>
      <w:r>
        <w:t>银行流水记录时间戳晚于账单生成日</w:t>
      </w:r>
    </w:p>
    <w:p>
      <w:pPr>
        <w:pStyle w:val="ListNumber"/>
      </w:pPr>
      <w:r>
        <w:t>金额完全匹配，无超额或短缺</w:t>
      </w:r>
    </w:p>
    <w:p>
      <w:pPr>
        <w:pStyle w:val="Heading3"/>
      </w:pPr>
      <w:r>
        <w:t>结论</w:t>
      </w:r>
    </w:p>
    <w:p>
      <w:r>
        <w:t xml:space="preserve">✅ </w:t>
      </w:r>
      <w:r>
        <w:rPr>
          <w:b/>
        </w:rPr>
        <w:t>正常时间差</w:t>
      </w:r>
      <w:r>
        <w:t xml:space="preserve"> — 非异常，无需追缴</w:t>
      </w:r>
    </w:p>
    <w:p>
      <w:pPr>
        <w:pStyle w:val="Heading2"/>
      </w:pPr>
      <w:r>
        <w:t>三、现金流风险提示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风险等级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风险描述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应对措施</w:t>
            </w:r>
          </w:p>
        </w:tc>
      </w:tr>
      <w:tr>
        <w:tc>
          <w:tcPr>
            <w:tcW w:type="dxa" w:w="2880"/>
          </w:tcPr>
          <w:p>
            <w:r/>
            <w:r>
              <w:t>🟡 低</w:t>
            </w:r>
          </w:p>
        </w:tc>
        <w:tc>
          <w:tcPr>
            <w:tcW w:type="dxa" w:w="2880"/>
          </w:tcPr>
          <w:p>
            <w:r/>
            <w:r>
              <w:t>时间差导致应收账龄拉长</w:t>
            </w:r>
          </w:p>
        </w:tc>
        <w:tc>
          <w:tcPr>
            <w:tcW w:type="dxa" w:w="2880"/>
          </w:tcPr>
          <w:p>
            <w:r/>
            <w:r>
              <w:t>优化账单生成与收款时间同步机制</w:t>
            </w:r>
          </w:p>
        </w:tc>
      </w:tr>
      <w:tr>
        <w:tc>
          <w:tcPr>
            <w:tcW w:type="dxa" w:w="2880"/>
          </w:tcPr>
          <w:p>
            <w:r/>
            <w:r>
              <w:t>🔴 高</w:t>
            </w:r>
          </w:p>
        </w:tc>
        <w:tc>
          <w:tcPr>
            <w:tcW w:type="dxa" w:w="2880"/>
          </w:tcPr>
          <w:p>
            <w:r/>
            <w:r>
              <w:t>类似差异若累积可能影响现金流预测准确性</w:t>
            </w:r>
          </w:p>
        </w:tc>
        <w:tc>
          <w:tcPr>
            <w:tcW w:type="dxa" w:w="2880"/>
          </w:tcPr>
          <w:p>
            <w:r/>
            <w:r>
              <w:t>建立每日自动对账+差异预警机制</w:t>
            </w:r>
          </w:p>
        </w:tc>
      </w:tr>
    </w:tbl>
    <w:p/>
    <w:p>
      <w:pPr>
        <w:pStyle w:val="Heading3"/>
      </w:pPr>
      <w:r>
        <w:t>建议措施</w:t>
      </w:r>
    </w:p>
    <w:p>
      <w:pPr>
        <w:pStyle w:val="ListNumber"/>
      </w:pPr>
      <w:r>
        <w:t>每日自动运行应收匹配脚本</w:t>
      </w:r>
    </w:p>
    <w:p>
      <w:pPr>
        <w:pStyle w:val="ListNumber"/>
      </w:pPr>
      <w:r>
        <w:t>超过3天的未匹配项自动标红预警</w:t>
      </w:r>
    </w:p>
    <w:p>
      <w:pPr>
        <w:pStyle w:val="ListNumber"/>
      </w:pPr>
      <w:r>
        <w:t>周报增加「应收匹配率」指标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报告生成</w:t>
      </w:r>
      <w:r>
        <w:t>: 架构部-龙枢</w:t>
      </w:r>
    </w:p>
    <w:p>
      <w:r>
        <w:rPr>
          <w:b/>
        </w:rPr>
        <w:t>数据来源</w:t>
      </w:r>
      <w:r>
        <w:t>: COI data_fabric (8846端口)</w:t>
      </w:r>
    </w:p>
    <w:p>
      <w:r>
        <w:rPr>
          <w:b/>
        </w:rPr>
        <w:t>交付日期</w:t>
      </w:r>
      <w:r>
        <w:t>: 2026-09-10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