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✅ 8800元应收-689.48元差异核查完成</w:t>
      </w:r>
    </w:p>
    <w:p>
      <w:pPr>
        <w:pStyle w:val="Heading3"/>
      </w:pPr>
      <w:r>
        <w:t>结论: **正常时间差**，非异常</w:t>
      </w:r>
    </w:p>
    <w:p>
      <w:pPr>
        <w:pStyle w:val="ListBullet"/>
      </w:pPr>
      <w:r>
        <w:t>客户A预付款因入账时间晚于账单生成日导致未匹配</w:t>
      </w:r>
    </w:p>
    <w:p>
      <w:pPr>
        <w:pStyle w:val="ListBullet"/>
      </w:pPr>
      <w:r>
        <w:t>金额完全吻合，客户确认单已验证</w:t>
      </w:r>
    </w:p>
    <w:p>
      <w:pPr>
        <w:pStyle w:val="Heading3"/>
      </w:pPr>
      <w:r>
        <w:t>📋 现金流风险提示简报</w:t>
      </w:r>
    </w:p>
    <w:p>
      <w:pPr>
        <w:pStyle w:val="ListNumber"/>
      </w:pPr>
      <w:r>
        <w:rPr>
          <w:b/>
        </w:rPr>
        <w:t>低风险提示</w:t>
      </w:r>
      <w:r>
        <w:t>: 优化账单生成与收款时间同步机制</w:t>
      </w:r>
    </w:p>
    <w:p>
      <w:pPr>
        <w:pStyle w:val="ListNumber"/>
      </w:pPr>
      <w:r>
        <w:rPr>
          <w:b/>
        </w:rPr>
        <w:t>高风险提示</w:t>
      </w:r>
      <w:r>
        <w:t>: 建立每日自动对账+差异预警机制（超3天未匹配标红）</w:t>
      </w:r>
    </w:p>
    <w:p>
      <w:pPr>
        <w:pStyle w:val="ListNumber"/>
      </w:pPr>
      <w:r>
        <w:rPr>
          <w:b/>
        </w:rPr>
        <w:t>建议</w:t>
      </w:r>
      <w:r>
        <w:t>: 周报新增「应收匹配率」指标</w:t>
      </w:r>
    </w:p>
    <w:p>
      <w:r>
        <w:t xml:space="preserve">📎 </w:t>
      </w:r>
      <w:r>
        <w:rPr>
          <w:b/>
        </w:rPr>
        <w:t>在线交付物</w:t>
      </w:r>
      <w:r>
        <w:t>: https://coi-portal.tail0f986c.ts.net/delivery/20260910-213051-ef3ce0</w:t>
      </w:r>
    </w:p>
    <w:p>
      <w:r>
        <w:t>（可点开在线查看 + 下载Office文档）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