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COI风口研判报告-20260912(架构部视角)</w:t>
      </w:r>
    </w:p>
    <w:p>
      <w:pPr>
        <w:pStyle w:val="Heading1"/>
      </w:pPr>
      <w:r>
        <w:t>COI风口研判报告</w:t>
      </w:r>
    </w:p>
    <w:p>
      <w:r>
        <w:rPr>
          <w:i/>
          <w:color w:val="666666"/>
        </w:rPr>
        <w:t>**身份说明**：我是架构部主管龙枢，非CEO。以下从架构部视角提供研判建议。</w:t>
      </w:r>
    </w:p>
    <w:p>
      <w:pPr>
        <w:pStyle w:val="Heading2"/>
      </w:pPr>
      <w:r>
        <w:t>交付时间</w:t>
      </w:r>
    </w:p>
    <w:p>
      <w:pPr>
        <w:pStyle w:val="ListBullet"/>
      </w:pPr>
      <w:r>
        <w:t>2026-09-12 23:17</w:t>
      </w:r>
    </w:p>
    <w:p>
      <w:pPr>
        <w:pStyle w:val="Heading2"/>
      </w:pPr>
      <w:r>
        <w:t>✅ 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2160"/>
          </w:tcPr>
          <w:p>
            <w:r/>
            <w:r>
              <w:t>创新部(龙创)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2160"/>
          </w:tcPr>
          <w:p>
            <w:r/>
            <w:r>
              <w:t>投资部(龙眼)+交易部(龙手)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跨境电商出口蓝海</w:t>
            </w:r>
          </w:p>
        </w:tc>
        <w:tc>
          <w:tcPr>
            <w:tcW w:type="dxa" w:w="2160"/>
          </w:tcPr>
          <w:p>
            <w:r/>
            <w:r>
              <w:t>增长部(龙拓)</w:t>
            </w:r>
          </w:p>
        </w:tc>
        <w:tc>
          <w:tcPr>
            <w:tcW w:type="dxa" w:w="2160"/>
          </w:tcPr>
          <w:p>
            <w:r/>
            <w:r>
              <w:t>P1</w:t>
            </w:r>
          </w:p>
        </w:tc>
      </w:tr>
    </w:tbl>
    <w:p/>
    <w:p>
      <w:pPr>
        <w:pStyle w:val="Heading2"/>
      </w:pPr>
      <w:r>
        <w:t>🎯 下一步落地动作</w:t>
      </w:r>
    </w:p>
    <w:p>
      <w:pPr>
        <w:pStyle w:val="ListNumber"/>
      </w:pPr>
      <w:r>
        <w:rPr>
          <w:b/>
        </w:rPr>
        <w:t>创新部</w:t>
      </w:r>
      <w:r>
        <w:t>：输出《低空经济eVTOL商业化研究报告》</w:t>
      </w:r>
    </w:p>
    <w:p>
      <w:pPr>
        <w:pStyle w:val="ListNumber"/>
      </w:pPr>
      <w:r>
        <w:rPr>
          <w:b/>
        </w:rPr>
        <w:t>投资部+交易部</w:t>
      </w:r>
      <w:r>
        <w:t>：建立黄金价格监测模型，跟踪CPI/美联储政策</w:t>
      </w:r>
    </w:p>
    <w:p>
      <w:pPr>
        <w:pStyle w:val="ListNumber"/>
      </w:pPr>
      <w:r>
        <w:rPr>
          <w:b/>
        </w:rPr>
        <w:t>增长部</w:t>
      </w:r>
      <w:r>
        <w:t>：调研小众平台(eMAG/Coupang/Ozon)，建立选品工具链</w:t>
      </w:r>
    </w:p>
    <w:p>
      <w:pPr>
        <w:pStyle w:val="Heading2"/>
      </w:pPr>
      <w:r>
        <w:t>❌ 跳过项目</w:t>
      </w:r>
    </w:p>
    <w:p>
      <w:pPr>
        <w:pStyle w:val="ListBullet"/>
      </w:pPr>
      <w:r>
        <w:t>AI Agent智能体：联网无结果</w:t>
      </w:r>
    </w:p>
    <w:p>
      <w:pPr>
        <w:pStyle w:val="ListBullet"/>
      </w:pPr>
      <w:r>
        <w:t>机器人具身智能：网页内容为machine字典释义</w:t>
      </w:r>
    </w:p>
    <w:p>
      <w:pPr>
        <w:pStyle w:val="ListBullet"/>
      </w:pPr>
      <w:r>
        <w:t>内容创作AI视频：网页内容为词典释义</w:t>
      </w:r>
    </w:p>
    <w:p>
      <w:pPr>
        <w:pStyle w:val="ListBullet"/>
      </w:pPr>
      <w:r>
        <w:t>新能源汽车出海：网页为导航页+汉字释义</w:t>
      </w:r>
    </w:p>
    <w:p>
      <w:pPr>
        <w:pStyle w:val="Heading2"/>
      </w:pPr>
      <w:r>
        <w:t>架构部建议</w:t>
      </w:r>
    </w:p>
    <w:p>
      <w:r>
        <w:t>聚焦政策研究、量化交易、跨境开拓三大赛道，协调各部门并行推进。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