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COI风口研判报告-20260913(第2版)</w:t>
      </w:r>
    </w:p>
    <w:p>
      <w:pPr>
        <w:pStyle w:val="Heading1"/>
      </w:pPr>
      <w:r>
        <w:t>COI风口研判报告</w:t>
      </w:r>
    </w:p>
    <w:p>
      <w:r>
        <w:rPr>
          <w:b/>
        </w:rPr>
        <w:t>时间</w:t>
      </w:r>
      <w:r>
        <w:t>: 2026-09-13 11:17</w:t>
      </w:r>
    </w:p>
    <w:p>
      <w:r>
        <w:rPr>
          <w:b/>
        </w:rPr>
        <w:t>部门</w:t>
      </w:r>
      <w:r>
        <w:t>: 架构部</w:t>
      </w:r>
    </w:p>
    <w:p>
      <w:r>
        <w:rPr>
          <w:b/>
        </w:rPr>
        <w:t>研判人</w:t>
      </w:r>
      <w:r>
        <w:t>: 龙枢</w:t>
      </w:r>
    </w:p>
    <w:p>
      <w:r>
        <w:rPr>
          <w:b/>
        </w:rPr>
        <w:t>级别</w:t>
      </w:r>
      <w:r>
        <w:t>: L2内部</w:t>
      </w:r>
    </w:p>
    <w:p>
      <w:r>
        <w:t>────────────────────────────────────</w:t>
      </w:r>
    </w:p>
    <w:p>
      <w:pPr>
        <w:pStyle w:val="Heading2"/>
      </w:pPr>
      <w:r>
        <w:t>一、值得立即抓住的3个风口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b/>
              </w:rPr>
            </w:r>
            <w:r>
              <w:rPr>
                <w:b/>
              </w:rPr>
              <w:t>排名</w:t>
            </w:r>
          </w:p>
        </w:tc>
        <w:tc>
          <w:tcPr>
            <w:tcW w:type="dxa" w:w="1728"/>
          </w:tcPr>
          <w:p>
            <w:r>
              <w:rPr>
                <w:b/>
              </w:rPr>
            </w:r>
            <w:r>
              <w:rPr>
                <w:b/>
              </w:rPr>
              <w:t>风口</w:t>
            </w:r>
          </w:p>
        </w:tc>
        <w:tc>
          <w:tcPr>
            <w:tcW w:type="dxa" w:w="1728"/>
          </w:tcPr>
          <w:p>
            <w:r>
              <w:rPr>
                <w:b/>
              </w:rPr>
            </w:r>
            <w:r>
              <w:rPr>
                <w:b/>
              </w:rPr>
              <w:t>主导部门</w:t>
            </w:r>
          </w:p>
        </w:tc>
        <w:tc>
          <w:tcPr>
            <w:tcW w:type="dxa" w:w="1728"/>
          </w:tcPr>
          <w:p>
            <w:r>
              <w:rPr>
                <w:b/>
              </w:rPr>
            </w:r>
            <w:r>
              <w:rPr>
                <w:b/>
              </w:rPr>
              <w:t>优先级</w:t>
            </w:r>
          </w:p>
        </w:tc>
        <w:tc>
          <w:tcPr>
            <w:tcW w:type="dxa" w:w="1728"/>
          </w:tcPr>
          <w:p>
            <w:r>
              <w:rPr>
                <w:b/>
              </w:rPr>
            </w:r>
            <w:r>
              <w:rPr>
                <w:b/>
              </w:rPr>
              <w:t>核心理由</w:t>
            </w:r>
          </w:p>
        </w:tc>
      </w:tr>
      <w:tr>
        <w:tc>
          <w:tcPr>
            <w:tcW w:type="dxa" w:w="1728"/>
          </w:tcPr>
          <w:p>
            <w:r/>
            <w:r>
              <w:t>1</w:t>
            </w:r>
          </w:p>
        </w:tc>
        <w:tc>
          <w:tcPr>
            <w:tcW w:type="dxa" w:w="1728"/>
          </w:tcPr>
          <w:p>
            <w:r/>
            <w:r>
              <w:rPr>
                <w:b/>
              </w:rPr>
              <w:t>低空经济eVTOL商业化</w:t>
            </w:r>
          </w:p>
        </w:tc>
        <w:tc>
          <w:tcPr>
            <w:tcW w:type="dxa" w:w="1728"/>
          </w:tcPr>
          <w:p>
            <w:r/>
            <w:r>
              <w:t>创新部(龙创)</w:t>
            </w:r>
          </w:p>
        </w:tc>
        <w:tc>
          <w:tcPr>
            <w:tcW w:type="dxa" w:w="1728"/>
          </w:tcPr>
          <w:p>
            <w:r/>
            <w:r>
              <w:t>P0</w:t>
            </w:r>
          </w:p>
        </w:tc>
        <w:tc>
          <w:tcPr>
            <w:tcW w:type="dxa" w:w="1728"/>
          </w:tcPr>
          <w:p>
            <w:r/>
            <w:r>
              <w:t>2026年4月中科院发布指数报告，"3层级-84项指标"评价框架已建立，政策强支持，中国领先全球</w:t>
            </w:r>
          </w:p>
        </w:tc>
      </w:tr>
      <w:tr>
        <w:tc>
          <w:tcPr>
            <w:tcW w:type="dxa" w:w="1728"/>
          </w:tcPr>
          <w:p>
            <w:r/>
            <w:r>
              <w:t>2</w:t>
            </w:r>
          </w:p>
        </w:tc>
        <w:tc>
          <w:tcPr>
            <w:tcW w:type="dxa" w:w="1728"/>
          </w:tcPr>
          <w:p>
            <w:r/>
            <w:r>
              <w:rPr>
                <w:b/>
              </w:rPr>
              <w:t>黄金现货价格驱动</w:t>
            </w:r>
          </w:p>
        </w:tc>
        <w:tc>
          <w:tcPr>
            <w:tcW w:type="dxa" w:w="1728"/>
          </w:tcPr>
          <w:p>
            <w:r/>
            <w:r>
              <w:t>投资部(龙眼)+交易部(龙手)</w:t>
            </w:r>
          </w:p>
        </w:tc>
        <w:tc>
          <w:tcPr>
            <w:tcW w:type="dxa" w:w="1728"/>
          </w:tcPr>
          <w:p>
            <w:r/>
            <w:r>
              <w:t>P0</w:t>
            </w:r>
          </w:p>
        </w:tc>
        <w:tc>
          <w:tcPr>
            <w:tcW w:type="dxa" w:w="1728"/>
          </w:tcPr>
          <w:p>
            <w:r/>
            <w:r>
              <w:t>美联储利率预期为核心锚点，CPI/美债收益率数据可量化跟踪，地缘冲突提供波动机会</w:t>
            </w:r>
          </w:p>
        </w:tc>
      </w:tr>
      <w:tr>
        <w:tc>
          <w:tcPr>
            <w:tcW w:type="dxa" w:w="1728"/>
          </w:tcPr>
          <w:p>
            <w:r/>
            <w:r>
              <w:t>3</w:t>
            </w:r>
          </w:p>
        </w:tc>
        <w:tc>
          <w:tcPr>
            <w:tcW w:type="dxa" w:w="1728"/>
          </w:tcPr>
          <w:p>
            <w:r/>
            <w:r>
              <w:rPr>
                <w:b/>
              </w:rPr>
              <w:t>跨境电商出口蓝海</w:t>
            </w:r>
          </w:p>
        </w:tc>
        <w:tc>
          <w:tcPr>
            <w:tcW w:type="dxa" w:w="1728"/>
          </w:tcPr>
          <w:p>
            <w:r/>
            <w:r>
              <w:t>增长部(龙拓)</w:t>
            </w:r>
          </w:p>
        </w:tc>
        <w:tc>
          <w:tcPr>
            <w:tcW w:type="dxa" w:w="1728"/>
          </w:tcPr>
          <w:p>
            <w:r/>
            <w:r>
              <w:t>P1</w:t>
            </w:r>
          </w:p>
        </w:tc>
        <w:tc>
          <w:tcPr>
            <w:tcW w:type="dxa" w:w="1728"/>
          </w:tcPr>
          <w:p>
            <w:r/>
            <w:r>
              <w:t>仅1%中国卖家入局小众平台(eMAG/Coupang/Ozon)，"众筹测款+AI选品"方法论清晰</w:t>
            </w:r>
          </w:p>
        </w:tc>
      </w:tr>
    </w:tbl>
    <w:p/>
    <w:p>
      <w:r>
        <w:t>────────────────────────────────────</w:t>
      </w:r>
    </w:p>
    <w:p>
      <w:pPr>
        <w:pStyle w:val="Heading2"/>
      </w:pPr>
      <w:r>
        <w:t>二、下一步落地动作</w:t>
      </w:r>
    </w:p>
    <w:p>
      <w:pPr>
        <w:pStyle w:val="Heading3"/>
      </w:pPr>
      <w:r>
        <w:t>1. 低空经济eVTOL商业化 → 创新部(龙创)</w:t>
      </w:r>
    </w:p>
    <w:p>
      <w:r>
        <w:rPr>
          <w:b/>
        </w:rPr>
        <w:t>动作</w:t>
      </w:r>
      <w:r>
        <w:t>: 输出《低空经济eVTOL商业化研究报告》</w:t>
      </w:r>
    </w:p>
    <w:p>
      <w:pPr>
        <w:pStyle w:val="ListBullet"/>
      </w:pPr>
      <w:r>
        <w:t>解析中科院84项评价指标</w:t>
      </w:r>
    </w:p>
    <w:p>
      <w:pPr>
        <w:pStyle w:val="ListBullet"/>
      </w:pPr>
      <w:r>
        <w:t>绘制产业图谱（快递巨头vs科技企业布局）</w:t>
      </w:r>
    </w:p>
    <w:p>
      <w:pPr>
        <w:pStyle w:val="ListBullet"/>
      </w:pPr>
      <w:r>
        <w:t>输出可视化报告</w:t>
      </w:r>
    </w:p>
    <w:p>
      <w:r>
        <w:rPr>
          <w:b/>
        </w:rPr>
        <w:t>交付物</w:t>
      </w:r>
      <w:r>
        <w:t>: 研究报告(docx) + 指标矩阵图(png)</w:t>
      </w:r>
    </w:p>
    <w:p>
      <w:pPr>
        <w:pStyle w:val="Heading3"/>
      </w:pPr>
      <w:r>
        <w:t>2. 黄金现货价格驱动 → 投资部(龙眼)+交易部(龙手)</w:t>
      </w:r>
    </w:p>
    <w:p>
      <w:r>
        <w:rPr>
          <w:b/>
        </w:rPr>
        <w:t>动作</w:t>
      </w:r>
      <w:r>
        <w:t>: 建立黄金价格监测模型</w:t>
      </w:r>
    </w:p>
    <w:p>
      <w:pPr>
        <w:pStyle w:val="ListBullet"/>
      </w:pPr>
      <w:r>
        <w:t>实时跟踪CPI数据、美债收益率、加息概率</w:t>
      </w:r>
    </w:p>
    <w:p>
      <w:pPr>
        <w:pStyle w:val="ListBullet"/>
      </w:pPr>
      <w:r>
        <w:t>建立"油涨金跌"背离预警机制</w:t>
      </w:r>
    </w:p>
    <w:p>
      <w:pPr>
        <w:pStyle w:val="ListBullet"/>
      </w:pPr>
      <w:r>
        <w:t>制定交易策略建议</w:t>
      </w:r>
    </w:p>
    <w:p>
      <w:r>
        <w:rPr>
          <w:b/>
        </w:rPr>
        <w:t>交付物</w:t>
      </w:r>
      <w:r>
        <w:t>: 监测仪表盘 + 交易策略建议书</w:t>
      </w:r>
    </w:p>
    <w:p>
      <w:pPr>
        <w:pStyle w:val="Heading3"/>
      </w:pPr>
      <w:r>
        <w:t>3. 跨境电商出口蓝海 → 增长部(龙拓)</w:t>
      </w:r>
    </w:p>
    <w:p>
      <w:r>
        <w:rPr>
          <w:b/>
        </w:rPr>
        <w:t>动作</w:t>
      </w:r>
      <w:r>
        <w:t>: 调研小众平台+建立选品工具链</w:t>
      </w:r>
    </w:p>
    <w:p>
      <w:pPr>
        <w:pStyle w:val="ListBullet"/>
      </w:pPr>
      <w:r>
        <w:t>对比eMAG/Coupang/Ozon/美客多平台规则</w:t>
      </w:r>
    </w:p>
    <w:p>
      <w:pPr>
        <w:pStyle w:val="ListBullet"/>
      </w:pPr>
      <w:r>
        <w:t>建立"众筹测款+AI选品"标准化流程</w:t>
      </w:r>
    </w:p>
    <w:p>
      <w:pPr>
        <w:pStyle w:val="ListBullet"/>
      </w:pPr>
      <w:r>
        <w:t>输出合规避险指南</w:t>
      </w:r>
    </w:p>
    <w:p>
      <w:r>
        <w:rPr>
          <w:b/>
        </w:rPr>
        <w:t>交付物</w:t>
      </w:r>
      <w:r>
        <w:t>: 平台分析报告 + 选品模板工具</w:t>
      </w:r>
    </w:p>
    <w:p>
      <w:r>
        <w:t>────────────────────────────────────</w:t>
      </w:r>
    </w:p>
    <w:p>
      <w:pPr>
        <w:pStyle w:val="Heading2"/>
      </w:pPr>
      <w:r>
        <w:t>三、跳过项目（信息无效或无关）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rPr>
                <w:b/>
              </w:rPr>
            </w:r>
            <w:r>
              <w:rPr>
                <w:b/>
              </w:rPr>
              <w:t>项目</w:t>
            </w:r>
          </w:p>
        </w:tc>
        <w:tc>
          <w:tcPr>
            <w:tcW w:type="dxa" w:w="4320"/>
          </w:tcPr>
          <w:p>
            <w:r>
              <w:rPr>
                <w:b/>
              </w:rPr>
            </w:r>
            <w:r>
              <w:rPr>
                <w:b/>
              </w:rPr>
              <w:t>原因</w:t>
            </w:r>
          </w:p>
        </w:tc>
      </w:tr>
      <w:tr>
        <w:tc>
          <w:tcPr>
            <w:tcW w:type="dxa" w:w="4320"/>
          </w:tcPr>
          <w:p>
            <w:r/>
            <w:r>
              <w:t>AI Agent智能体趋势</w:t>
            </w:r>
          </w:p>
        </w:tc>
        <w:tc>
          <w:tcPr>
            <w:tcW w:type="dxa" w:w="4320"/>
          </w:tcPr>
          <w:p>
            <w:r/>
            <w:r>
              <w:t>联网无结果，未写入知识库</w:t>
            </w:r>
          </w:p>
        </w:tc>
      </w:tr>
      <w:tr>
        <w:tc>
          <w:tcPr>
            <w:tcW w:type="dxa" w:w="4320"/>
          </w:tcPr>
          <w:p>
            <w:r/>
            <w:r>
              <w:t>机器人具身智能产业</w:t>
            </w:r>
          </w:p>
        </w:tc>
        <w:tc>
          <w:tcPr>
            <w:tcW w:type="dxa" w:w="4320"/>
          </w:tcPr>
          <w:p>
            <w:r/>
            <w:r>
              <w:t>网页内容为machine字典释义，非产业信息</w:t>
            </w:r>
          </w:p>
        </w:tc>
      </w:tr>
      <w:tr>
        <w:tc>
          <w:tcPr>
            <w:tcW w:type="dxa" w:w="4320"/>
          </w:tcPr>
          <w:p>
            <w:r/>
            <w:r>
              <w:t>内容创作AI视频风口</w:t>
            </w:r>
          </w:p>
        </w:tc>
        <w:tc>
          <w:tcPr>
            <w:tcW w:type="dxa" w:w="4320"/>
          </w:tcPr>
          <w:p>
            <w:r/>
            <w:r>
              <w:t>网页内容为词典释义，与风口主题不符</w:t>
            </w:r>
          </w:p>
        </w:tc>
      </w:tr>
      <w:tr>
        <w:tc>
          <w:tcPr>
            <w:tcW w:type="dxa" w:w="4320"/>
          </w:tcPr>
          <w:p>
            <w:r/>
            <w:r>
              <w:t>新能源汽车出海市场</w:t>
            </w:r>
          </w:p>
        </w:tc>
        <w:tc>
          <w:tcPr>
            <w:tcW w:type="dxa" w:w="4320"/>
          </w:tcPr>
          <w:p>
            <w:r/>
            <w:r>
              <w:t>网页为导航页+汉字释义，完全无关</w:t>
            </w:r>
          </w:p>
        </w:tc>
      </w:tr>
    </w:tbl>
    <w:p/>
    <w:p>
      <w:r>
        <w:t>────────────────────────────────────</w:t>
      </w:r>
    </w:p>
    <w:p>
      <w:pPr>
        <w:pStyle w:val="Heading2"/>
      </w:pPr>
      <w:r>
        <w:t>四、协同建议</w:t>
      </w:r>
    </w:p>
    <w:p>
      <w:pPr>
        <w:pStyle w:val="ListNumber"/>
      </w:pPr>
      <w:r>
        <w:rPr>
          <w:b/>
        </w:rPr>
        <w:t>架构部(我)</w:t>
      </w:r>
      <w:r>
        <w:t>: 负责协调三部门并行推进，监控交付进度</w:t>
      </w:r>
    </w:p>
    <w:p>
      <w:pPr>
        <w:pStyle w:val="ListNumber"/>
      </w:pPr>
      <w:r>
        <w:rPr>
          <w:b/>
        </w:rPr>
        <w:t>主脑(master_brain)</w:t>
      </w:r>
      <w:r>
        <w:t>: 按任务优先级路由，分配资源</w:t>
      </w:r>
    </w:p>
    <w:p>
      <w:pPr>
        <w:pStyle w:val="ListNumber"/>
      </w:pPr>
      <w:r>
        <w:rPr>
          <w:b/>
        </w:rPr>
        <w:t>CEO(鲁哥)</w:t>
      </w:r>
      <w:r>
        <w:t>: 最终拍板战略方向，审批关键决策</w:t>
      </w:r>
    </w:p>
    <w:p>
      <w:r>
        <w:t>────────────────────────────────────</w:t>
      </w:r>
    </w:p>
    <w:p>
      <w:pPr>
        <w:pStyle w:val="Heading2"/>
      </w:pPr>
      <w:r>
        <w:t>五、风险提示</w:t>
      </w:r>
    </w:p>
    <w:p>
      <w:pPr>
        <w:pStyle w:val="ListNumber"/>
      </w:pPr>
      <w:r>
        <w:t>低空经济受政策影响大，需持续跟踪空域开放进展</w:t>
      </w:r>
    </w:p>
    <w:p>
      <w:pPr>
        <w:pStyle w:val="ListNumber"/>
      </w:pPr>
      <w:r>
        <w:t>黄金交易需警惕"鹰派陷阱"及地缘冲突突发波动</w:t>
      </w:r>
    </w:p>
    <w:p>
      <w:pPr>
        <w:pStyle w:val="ListNumber"/>
      </w:pPr>
      <w:r>
        <w:t>跨境电商需关注关税监管及平台合规红线</w:t>
      </w:r>
    </w:p>
    <w:p>
      <w:r>
        <w:t>────────────────────────────────────</w:t>
      </w:r>
    </w:p>
    <w:p>
      <w:r>
        <w:rPr>
          <w:b/>
        </w:rPr>
        <w:t>报告生成时间</w:t>
      </w:r>
      <w:r>
        <w:t>: 2026-09-13 11:17:28</w:t>
      </w:r>
    </w:p>
    <w:p>
      <w:r>
        <w:rPr>
          <w:b/>
        </w:rPr>
        <w:t>交付系统</w:t>
      </w:r>
      <w:r>
        <w:t>: COI delivery_hub</w:t>
      </w:r>
    </w:p>
    <w:p>
      <w:r>
        <w:rPr>
          <w:b/>
        </w:rPr>
        <w:t>涉密级别</w:t>
      </w:r>
      <w:r>
        <w:t>: L2内部（内网+Tailscale访问）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/>
      <w:b/>
      <w:bCs/>
      <w:color w:val="1F3A5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Microsoft YaHei" w:hAnsi="Microsoft YaHei"/>
      <w:b/>
      <w:bCs/>
      <w:i/>
      <w:iCs/>
      <w:color w:val="1F3A5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