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COI风口研判报告-20260914(CEO视角)</w:t>
      </w:r>
    </w:p>
    <w:p>
      <w:pPr>
        <w:pStyle w:val="Heading1"/>
      </w:pPr>
      <w:r>
        <w:t>COI风口研判报告</w:t>
      </w:r>
    </w:p>
    <w:p>
      <w:r>
        <w:rPr>
          <w:b/>
        </w:rPr>
        <w:t>研判时间</w:t>
      </w:r>
      <w:r>
        <w:t>: 2026-09-14 05:16</w:t>
      </w:r>
    </w:p>
    <w:p>
      <w:r>
        <w:rPr>
          <w:b/>
        </w:rPr>
        <w:t>研判主体</w:t>
      </w:r>
      <w:r>
        <w:t>: COI CEO(鲁哥)</w:t>
      </w:r>
    </w:p>
    <w:p>
      <w:r>
        <w:rPr>
          <w:b/>
        </w:rPr>
        <w:t>编制部门</w:t>
      </w:r>
      <w:r>
        <w:t>: 架构部(龙枢)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一、值得立即抓住的3个风口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核心理由</w:t>
            </w:r>
          </w:p>
        </w:tc>
      </w:tr>
      <w:tr>
        <w:tc>
          <w:tcPr>
            <w:tcW w:type="dxa" w:w="1728"/>
          </w:tcPr>
          <w:p>
            <w:r/>
            <w:r>
              <w:t>1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1728"/>
          </w:tcPr>
          <w:p>
            <w:r/>
            <w:r>
              <w:t>创新部(龙创)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2026年4月中科院发布指数报告，"3层级-84项指标"评价体系已建立，政策强支持</w:t>
            </w:r>
          </w:p>
        </w:tc>
      </w:tr>
      <w:tr>
        <w:tc>
          <w:tcPr>
            <w:tcW w:type="dxa" w:w="1728"/>
          </w:tcPr>
          <w:p>
            <w:r/>
            <w:r>
              <w:t>2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1728"/>
          </w:tcPr>
          <w:p>
            <w:r/>
            <w:r>
              <w:t>投资部(龙眼)+交易部(龙手)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美联储利率预期主导，CPI/美债收益率数据可量化跟踪，机构看涨期权活跃</w:t>
            </w:r>
          </w:p>
        </w:tc>
      </w:tr>
      <w:tr>
        <w:tc>
          <w:tcPr>
            <w:tcW w:type="dxa" w:w="1728"/>
          </w:tcPr>
          <w:p>
            <w:r/>
            <w:r>
              <w:t>3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1728"/>
          </w:tcPr>
          <w:p>
            <w:r/>
            <w:r>
              <w:t>增长部(龙拓)</w:t>
            </w:r>
          </w:p>
        </w:tc>
        <w:tc>
          <w:tcPr>
            <w:tcW w:type="dxa" w:w="1728"/>
          </w:tcPr>
          <w:p>
            <w:r/>
            <w:r>
              <w:t>P1</w:t>
            </w:r>
          </w:p>
        </w:tc>
        <w:tc>
          <w:tcPr>
            <w:tcW w:type="dxa" w:w="1728"/>
          </w:tcPr>
          <w:p>
            <w:r/>
            <w:r>
              <w:t>仅1%中国卖家入局小众平台(eMAG/Coupang/Ozon)，"众筹测款+AI选品"方法论清晰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二、下一步落地动作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序号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核心动作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交付物要求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t>创新部</w:t>
            </w:r>
          </w:p>
        </w:tc>
        <w:tc>
          <w:tcPr>
            <w:tcW w:type="dxa" w:w="2160"/>
          </w:tcPr>
          <w:p>
            <w:r/>
            <w:r>
              <w:t>输出《低空经济eVTOL商业化研究报告》+ 84项指标可视化</w:t>
            </w:r>
          </w:p>
        </w:tc>
        <w:tc>
          <w:tcPr>
            <w:tcW w:type="dxa" w:w="2160"/>
          </w:tcPr>
          <w:p>
            <w:r/>
            <w:r>
              <w:t>研究报告+指标矩阵图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t>投资部+交易部</w:t>
            </w:r>
          </w:p>
        </w:tc>
        <w:tc>
          <w:tcPr>
            <w:tcW w:type="dxa" w:w="2160"/>
          </w:tcPr>
          <w:p>
            <w:r/>
            <w:r>
              <w:t>建立黄金价格监测模型，跟踪CPI/美联储政策</w:t>
            </w:r>
          </w:p>
        </w:tc>
        <w:tc>
          <w:tcPr>
            <w:tcW w:type="dxa" w:w="2160"/>
          </w:tcPr>
          <w:p>
            <w:r/>
            <w:r>
              <w:t>监测仪表盘+交易策略建议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t>增长部</w:t>
            </w:r>
          </w:p>
        </w:tc>
        <w:tc>
          <w:tcPr>
            <w:tcW w:type="dxa" w:w="2160"/>
          </w:tcPr>
          <w:p>
            <w:r/>
            <w:r>
              <w:t>调研4个蓝海平台，建立"众筹测款+AI选品"工具链</w:t>
            </w:r>
          </w:p>
        </w:tc>
        <w:tc>
          <w:tcPr>
            <w:tcW w:type="dxa" w:w="2160"/>
          </w:tcPr>
          <w:p>
            <w:r/>
            <w:r>
              <w:t>平台分析报告+选品模板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三、跳过项目说明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跳过原因</w:t>
            </w:r>
          </w:p>
        </w:tc>
      </w:tr>
      <w:tr>
        <w:tc>
          <w:tcPr>
            <w:tcW w:type="dxa" w:w="4320"/>
          </w:tcPr>
          <w:p>
            <w:r/>
            <w:r>
              <w:t>AI Agent智能体</w:t>
            </w:r>
          </w:p>
        </w:tc>
        <w:tc>
          <w:tcPr>
            <w:tcW w:type="dxa" w:w="4320"/>
          </w:tcPr>
          <w:p>
            <w:r/>
            <w:r>
              <w:t>联网搜索无可用结果</w:t>
            </w:r>
          </w:p>
        </w:tc>
      </w:tr>
      <w:tr>
        <w:tc>
          <w:tcPr>
            <w:tcW w:type="dxa" w:w="4320"/>
          </w:tcPr>
          <w:p>
            <w:r/>
            <w:r>
              <w:t>机器人具身智能</w:t>
            </w:r>
          </w:p>
        </w:tc>
        <w:tc>
          <w:tcPr>
            <w:tcW w:type="dxa" w:w="4320"/>
          </w:tcPr>
          <w:p>
            <w:r/>
            <w:r>
              <w:t>网页内容为machine字典释义，非产业信息</w:t>
            </w:r>
          </w:p>
        </w:tc>
      </w:tr>
      <w:tr>
        <w:tc>
          <w:tcPr>
            <w:tcW w:type="dxa" w:w="4320"/>
          </w:tcPr>
          <w:p>
            <w:r/>
            <w:r>
              <w:t>内容创作AI视频</w:t>
            </w:r>
          </w:p>
        </w:tc>
        <w:tc>
          <w:tcPr>
            <w:tcW w:type="dxa" w:w="4320"/>
          </w:tcPr>
          <w:p>
            <w:r/>
            <w:r>
              <w:t>网页内容为词典释义，与主题无关</w:t>
            </w:r>
          </w:p>
        </w:tc>
      </w:tr>
      <w:tr>
        <w:tc>
          <w:tcPr>
            <w:tcW w:type="dxa" w:w="4320"/>
          </w:tcPr>
          <w:p>
            <w:r/>
            <w:r>
              <w:t>新能源汽车出海</w:t>
            </w:r>
          </w:p>
        </w:tc>
        <w:tc>
          <w:tcPr>
            <w:tcW w:type="dxa" w:w="4320"/>
          </w:tcPr>
          <w:p>
            <w:r/>
            <w:r>
              <w:t>网页为新浪导航页+汉字释义，完全无关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四、协同要求</w:t>
      </w:r>
    </w:p>
    <w:p>
      <w:pPr>
        <w:pStyle w:val="ListNumber"/>
      </w:pPr>
      <w:r>
        <w:rPr>
          <w:b/>
        </w:rPr>
        <w:t>架构部(龙枢)</w:t>
      </w:r>
      <w:r>
        <w:t>：负责跨部门协调、进度监控、交付物验收</w:t>
      </w:r>
    </w:p>
    <w:p>
      <w:pPr>
        <w:pStyle w:val="ListNumber"/>
      </w:pPr>
      <w:r>
        <w:rPr>
          <w:b/>
        </w:rPr>
        <w:t>主脑(master_brain)</w:t>
      </w:r>
      <w:r>
        <w:t>：负责任务分发、决策路由</w:t>
      </w:r>
    </w:p>
    <w:p>
      <w:pPr>
        <w:pStyle w:val="ListNumber"/>
      </w:pPr>
      <w:r>
        <w:rPr>
          <w:b/>
        </w:rPr>
        <w:t>CEO(鲁哥)</w:t>
      </w:r>
      <w:r>
        <w:t>：负责战略优先级拍板、重大决策审批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研判结论</w:t>
      </w:r>
      <w:r>
        <w:t>：聚焦低空政策研究、黄金量化交易、跨境蓝海开拓三大赛道，避开信息无效项目。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